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>
        <w:rPr>
          <w:rFonts w:ascii="Arial" w:hAnsi="Arial" w:cs="Arial"/>
          <w:b/>
          <w:bCs/>
          <w:sz w:val="24"/>
          <w:szCs w:val="24"/>
        </w:rPr>
        <w:t>102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B247F" w:rsidRPr="00DB247F">
        <w:rPr>
          <w:rFonts w:ascii="Arial" w:hAnsi="Arial" w:cs="Arial"/>
          <w:b/>
          <w:bCs/>
          <w:sz w:val="24"/>
          <w:szCs w:val="24"/>
        </w:rPr>
        <w:t>R1-2006080</w:t>
      </w:r>
      <w:bookmarkStart w:id="0" w:name="_GoBack"/>
      <w:bookmarkEnd w:id="0"/>
    </w:p>
    <w:p w:rsidR="00463675" w:rsidRPr="000F4E43" w:rsidRDefault="007A7FC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916CC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16CC0" w:rsidRPr="00916CC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16CC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1D760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28</w:t>
      </w:r>
      <w:r w:rsidR="001D7607" w:rsidRPr="001D760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D7607">
        <w:rPr>
          <w:rFonts w:ascii="Arial" w:hAnsi="Arial" w:cs="Arial"/>
          <w:b/>
          <w:bCs/>
          <w:sz w:val="24"/>
          <w:szCs w:val="24"/>
        </w:rPr>
        <w:t>, 2020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:rsidR="00463675" w:rsidRPr="00E657C5" w:rsidRDefault="00463675">
      <w:pPr>
        <w:rPr>
          <w:rFonts w:ascii="Arial" w:hAnsi="Arial" w:cs="Arial"/>
        </w:rPr>
      </w:pPr>
    </w:p>
    <w:p w:rsidR="00463675" w:rsidRPr="00937C01" w:rsidRDefault="00463675" w:rsidP="000F4E43">
      <w:pPr>
        <w:pStyle w:val="Title"/>
      </w:pPr>
      <w:r w:rsidRPr="000F4E43">
        <w:t>Title:</w:t>
      </w:r>
      <w:r w:rsidRPr="000F4E43">
        <w:tab/>
      </w:r>
      <w:r w:rsidR="00CF0BDF" w:rsidRPr="00CF0BDF">
        <w:t>[Draft] Reply LS on clarification of transparent diversity feasibility</w:t>
      </w:r>
    </w:p>
    <w:p w:rsidR="00463675" w:rsidRPr="00937C01" w:rsidRDefault="00463675" w:rsidP="000F4E43">
      <w:pPr>
        <w:pStyle w:val="Title"/>
      </w:pPr>
      <w:r w:rsidRPr="00937C01">
        <w:t>Response to:</w:t>
      </w:r>
      <w:r w:rsidRPr="00937C01">
        <w:tab/>
        <w:t>LS (</w:t>
      </w:r>
      <w:r w:rsidR="00CF0BDF">
        <w:t>R4</w:t>
      </w:r>
      <w:r w:rsidR="0080550F" w:rsidRPr="0080550F">
        <w:t>-</w:t>
      </w:r>
      <w:r w:rsidR="00CF0BDF" w:rsidRPr="00CF0BDF">
        <w:t>2009171</w:t>
      </w:r>
      <w:r w:rsidR="00916CC0" w:rsidRPr="00937C01">
        <w:t>)</w:t>
      </w:r>
      <w:r w:rsidR="007A7FCF">
        <w:t xml:space="preserve"> on</w:t>
      </w:r>
      <w:r w:rsidR="00916CC0" w:rsidRPr="00937C01">
        <w:t xml:space="preserve"> </w:t>
      </w:r>
      <w:r w:rsidR="00CF0BDF" w:rsidRPr="00CF0BDF">
        <w:t>feasibility of ULFPTx modes and transparent TxD for certain UE implementations</w:t>
      </w:r>
    </w:p>
    <w:p w:rsidR="00463675" w:rsidRPr="00937C01" w:rsidRDefault="00463675" w:rsidP="000F4E43">
      <w:pPr>
        <w:pStyle w:val="Title"/>
      </w:pPr>
      <w:r w:rsidRPr="00937C01">
        <w:t>Release:</w:t>
      </w:r>
      <w:r w:rsidRPr="00937C01">
        <w:tab/>
      </w:r>
      <w:r w:rsidR="00916CC0" w:rsidRPr="00937C01">
        <w:t>Rel-16</w:t>
      </w:r>
    </w:p>
    <w:p w:rsidR="00463675" w:rsidRPr="00937C01" w:rsidRDefault="00463675" w:rsidP="000F4E43">
      <w:pPr>
        <w:pStyle w:val="Title"/>
      </w:pPr>
      <w:r w:rsidRPr="00937C01">
        <w:t>Work Item:</w:t>
      </w:r>
      <w:r w:rsidRPr="00937C01">
        <w:tab/>
      </w:r>
      <w:r w:rsidR="00916CC0" w:rsidRPr="00937C01">
        <w:t>NR_eMIMO-Core</w:t>
      </w:r>
    </w:p>
    <w:p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 (Samsung)</w:t>
      </w:r>
    </w:p>
    <w:p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CF0BDF">
        <w:rPr>
          <w:b w:val="0"/>
        </w:rPr>
        <w:t>RAN4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16CC0">
        <w:rPr>
          <w:color w:val="FF0000"/>
        </w:rPr>
        <w:t>-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310C6" w:rsidRDefault="001310C6" w:rsidP="001310C6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RAN4 study of </w:t>
      </w:r>
      <w:r w:rsidRPr="005410E2">
        <w:rPr>
          <w:rFonts w:ascii="Arial" w:hAnsi="Arial" w:cs="Arial"/>
          <w:lang w:eastAsia="zh-CN"/>
        </w:rPr>
        <w:t>ULFPTx</w:t>
      </w:r>
      <w:r>
        <w:rPr>
          <w:rFonts w:ascii="Arial" w:hAnsi="Arial" w:cs="Arial"/>
          <w:lang w:eastAsia="zh-CN"/>
        </w:rPr>
        <w:t xml:space="preserve"> under eMIMO WI</w:t>
      </w:r>
      <w:r w:rsidR="00CD639C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>, enabling transparent Tx diversity (TxD) was agreed</w:t>
      </w:r>
      <w:r w:rsidRPr="0091192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at least from Rel-16, and t</w:t>
      </w:r>
      <w:r w:rsidRPr="005410E2">
        <w:rPr>
          <w:rFonts w:ascii="Arial" w:hAnsi="Arial" w:cs="Arial"/>
          <w:lang w:eastAsia="zh-CN"/>
        </w:rPr>
        <w:t xml:space="preserve">he applicability of </w:t>
      </w:r>
      <w:r>
        <w:rPr>
          <w:rFonts w:ascii="Arial" w:hAnsi="Arial" w:cs="Arial"/>
          <w:lang w:eastAsia="zh-CN"/>
        </w:rPr>
        <w:t>t</w:t>
      </w:r>
      <w:r w:rsidRPr="005410E2">
        <w:rPr>
          <w:rFonts w:ascii="Arial" w:hAnsi="Arial" w:cs="Arial"/>
          <w:lang w:eastAsia="zh-CN"/>
        </w:rPr>
        <w:t>ransparent TxD is NOT related to UE supporting or not supporting Rel-16 ULFPTx</w:t>
      </w:r>
      <w:r>
        <w:rPr>
          <w:rFonts w:ascii="Arial" w:hAnsi="Arial" w:cs="Arial"/>
          <w:lang w:eastAsia="zh-CN"/>
        </w:rPr>
        <w:t xml:space="preserve">. Two possible cases were identified in RAN4 to </w:t>
      </w:r>
      <w:r w:rsidRPr="005410E2">
        <w:rPr>
          <w:rFonts w:ascii="Arial" w:hAnsi="Arial" w:cs="Arial"/>
          <w:lang w:eastAsia="zh-CN"/>
        </w:rPr>
        <w:t>use transparent TxD to achieve the required transmission power</w:t>
      </w:r>
      <w:r>
        <w:rPr>
          <w:rFonts w:ascii="Arial" w:hAnsi="Arial" w:cs="Arial"/>
          <w:lang w:eastAsia="zh-CN"/>
        </w:rPr>
        <w:t>, i.e. for a FR1 UE having two TX branches/antennae,</w:t>
      </w:r>
    </w:p>
    <w:p w:rsidR="001310C6" w:rsidRDefault="001310C6" w:rsidP="001310C6">
      <w:pPr>
        <w:numPr>
          <w:ilvl w:val="0"/>
          <w:numId w:val="22"/>
        </w:numPr>
        <w:overflowPunct w:val="0"/>
        <w:spacing w:after="120"/>
        <w:ind w:left="714" w:hanging="357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First case: T</w:t>
      </w:r>
      <w:r w:rsidRPr="005410E2">
        <w:rPr>
          <w:rFonts w:ascii="Arial" w:hAnsi="Arial" w:cs="Arial"/>
          <w:lang w:eastAsia="zh-CN"/>
        </w:rPr>
        <w:t xml:space="preserve">ransparent TxD </w:t>
      </w:r>
      <w:r w:rsidRPr="005410E2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UE configured with </w:t>
      </w:r>
      <w:r w:rsidRPr="005410E2">
        <w:rPr>
          <w:rFonts w:ascii="Arial" w:hAnsi="Arial" w:cs="Arial"/>
          <w:lang w:val="en-US" w:eastAsia="zh-CN"/>
        </w:rPr>
        <w:t>single SRS port (either with DCI_0_0 or single SRS port with DCI_0_1)</w:t>
      </w:r>
      <w:r>
        <w:rPr>
          <w:rFonts w:ascii="Arial" w:hAnsi="Arial" w:cs="Arial"/>
          <w:lang w:val="en-US" w:eastAsia="zh-CN"/>
        </w:rPr>
        <w:t>;</w:t>
      </w:r>
    </w:p>
    <w:p w:rsidR="001310C6" w:rsidRDefault="001310C6" w:rsidP="001310C6">
      <w:pPr>
        <w:numPr>
          <w:ilvl w:val="0"/>
          <w:numId w:val="22"/>
        </w:numPr>
        <w:overflowPunct w:val="0"/>
        <w:spacing w:after="120"/>
        <w:ind w:left="714" w:hanging="357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Second case: Transparent TxD for UE configured with 2 SRS ports (FFS whether TxD is feasible in this case).</w:t>
      </w:r>
    </w:p>
    <w:p w:rsidR="001310C6" w:rsidRDefault="001310C6" w:rsidP="001310C6">
      <w:pPr>
        <w:overflowPunct w:val="0"/>
        <w:spacing w:before="120"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For the second case, two possible methods to </w:t>
      </w:r>
      <w:r>
        <w:rPr>
          <w:rFonts w:ascii="Arial" w:hAnsi="Arial" w:cs="Arial"/>
          <w:lang w:eastAsia="zh-CN"/>
        </w:rPr>
        <w:t xml:space="preserve">transmit a multi-port SRS resource (i.e. 2Tx ports) with two PAs (PA1 and PA2) were considered, i.e. </w:t>
      </w:r>
    </w:p>
    <w:p w:rsidR="001310C6" w:rsidRPr="005410E2" w:rsidRDefault="001310C6" w:rsidP="001310C6">
      <w:pPr>
        <w:numPr>
          <w:ilvl w:val="0"/>
          <w:numId w:val="23"/>
        </w:numPr>
        <w:overflowPunct w:val="0"/>
        <w:spacing w:after="120"/>
        <w:textAlignment w:val="baseline"/>
        <w:rPr>
          <w:rFonts w:ascii="Arial" w:hAnsi="Arial" w:cs="Arial"/>
          <w:lang w:val="en-US" w:eastAsia="zh-CN"/>
        </w:rPr>
      </w:pPr>
      <w:r w:rsidRPr="005410E2">
        <w:rPr>
          <w:rFonts w:ascii="Arial" w:hAnsi="Arial" w:cs="Arial"/>
          <w:lang w:eastAsia="zh-CN"/>
        </w:rPr>
        <w:t>Method-1: SRS port-1 maps to PA1, SRS port-2 maps to PA2</w:t>
      </w:r>
    </w:p>
    <w:p w:rsidR="001310C6" w:rsidRPr="005410E2" w:rsidRDefault="001310C6" w:rsidP="001310C6">
      <w:pPr>
        <w:numPr>
          <w:ilvl w:val="0"/>
          <w:numId w:val="23"/>
        </w:numPr>
        <w:overflowPunct w:val="0"/>
        <w:spacing w:after="120"/>
        <w:textAlignment w:val="baseline"/>
        <w:rPr>
          <w:rFonts w:ascii="Arial" w:hAnsi="Arial" w:cs="Arial"/>
          <w:lang w:val="en-US" w:eastAsia="zh-CN"/>
        </w:rPr>
      </w:pPr>
      <w:r w:rsidRPr="005410E2">
        <w:rPr>
          <w:rFonts w:ascii="Arial" w:hAnsi="Arial" w:cs="Arial"/>
          <w:lang w:eastAsia="zh-CN"/>
        </w:rPr>
        <w:t>Method-2: SRS port-1 maps to PA1+PA2, SRS port-2 maps to PA1+PA2</w:t>
      </w:r>
    </w:p>
    <w:p w:rsidR="001310C6" w:rsidRDefault="001310C6">
      <w:pPr>
        <w:rPr>
          <w:rFonts w:ascii="Arial" w:hAnsi="Arial" w:cs="Arial"/>
        </w:rPr>
      </w:pPr>
    </w:p>
    <w:p w:rsidR="00463675" w:rsidRPr="00937C01" w:rsidRDefault="002331F4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the </w:t>
      </w:r>
      <w:r w:rsidR="00937C01" w:rsidRPr="00937C01">
        <w:rPr>
          <w:rFonts w:ascii="Arial" w:hAnsi="Arial" w:cs="Arial"/>
        </w:rPr>
        <w:t xml:space="preserve">following </w:t>
      </w:r>
      <w:r w:rsidR="0060618E">
        <w:rPr>
          <w:rFonts w:ascii="Arial" w:hAnsi="Arial" w:cs="Arial"/>
        </w:rPr>
        <w:t xml:space="preserve">questions from RAN4 in </w:t>
      </w:r>
      <w:r w:rsidR="00FC7F9D">
        <w:rPr>
          <w:rFonts w:ascii="Arial" w:hAnsi="Arial" w:cs="Arial"/>
        </w:rPr>
        <w:t>[1]</w:t>
      </w:r>
      <w:r w:rsidR="00937C01" w:rsidRPr="00937C01">
        <w:rPr>
          <w:rFonts w:ascii="Arial" w:hAnsi="Arial" w:cs="Arial"/>
        </w:rPr>
        <w:t>:</w:t>
      </w:r>
    </w:p>
    <w:p w:rsidR="00074FC2" w:rsidRDefault="00074FC2" w:rsidP="001A1521">
      <w:pPr>
        <w:pStyle w:val="Header"/>
        <w:rPr>
          <w:rFonts w:ascii="Arial" w:hAnsi="Arial" w:cs="Arial"/>
          <w:b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F78" w:rsidTr="00175F78">
        <w:tc>
          <w:tcPr>
            <w:tcW w:w="9629" w:type="dxa"/>
          </w:tcPr>
          <w:p w:rsidR="001310C6" w:rsidRDefault="001310C6" w:rsidP="001310C6">
            <w:p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 w:rsidRPr="007F28DE">
              <w:rPr>
                <w:rFonts w:ascii="Arial" w:hAnsi="Arial" w:cs="Arial"/>
                <w:b/>
                <w:lang w:eastAsia="zh-CN"/>
              </w:rPr>
              <w:t>Question 1</w:t>
            </w:r>
            <w:r>
              <w:rPr>
                <w:rFonts w:ascii="Arial" w:hAnsi="Arial" w:cs="Arial"/>
                <w:lang w:eastAsia="zh-CN"/>
              </w:rPr>
              <w:t>: Whether the two mentioned methods are both feasible to transmit the full output power?</w:t>
            </w:r>
          </w:p>
          <w:p w:rsidR="001310C6" w:rsidRDefault="001310C6" w:rsidP="001310C6">
            <w:p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 w:rsidRPr="007F28DE">
              <w:rPr>
                <w:rFonts w:ascii="Arial" w:hAnsi="Arial" w:cs="Arial"/>
                <w:b/>
                <w:lang w:eastAsia="zh-CN"/>
              </w:rPr>
              <w:t>Question 2</w:t>
            </w:r>
            <w:r>
              <w:rPr>
                <w:rFonts w:ascii="Arial" w:hAnsi="Arial" w:cs="Arial"/>
                <w:lang w:eastAsia="zh-CN"/>
              </w:rPr>
              <w:t xml:space="preserve">: If answer is yes, which </w:t>
            </w:r>
            <w:r w:rsidRPr="005410E2">
              <w:rPr>
                <w:rFonts w:ascii="Arial" w:hAnsi="Arial" w:cs="Arial"/>
                <w:lang w:eastAsia="zh-CN"/>
              </w:rPr>
              <w:t>ULFPTx</w:t>
            </w:r>
            <w:r>
              <w:rPr>
                <w:rFonts w:ascii="Arial" w:hAnsi="Arial" w:cs="Arial"/>
                <w:lang w:eastAsia="zh-CN"/>
              </w:rPr>
              <w:t xml:space="preserve"> modes can be supported for these two methods?</w:t>
            </w:r>
          </w:p>
          <w:p w:rsidR="00175F78" w:rsidRPr="00981BF2" w:rsidRDefault="001310C6" w:rsidP="00981BF2">
            <w:p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 w:rsidRPr="007F28DE">
              <w:rPr>
                <w:rFonts w:ascii="Arial" w:hAnsi="Arial" w:cs="Arial"/>
                <w:b/>
                <w:lang w:eastAsia="zh-CN"/>
              </w:rPr>
              <w:t xml:space="preserve">Question </w:t>
            </w:r>
            <w:r>
              <w:rPr>
                <w:rFonts w:ascii="Arial" w:hAnsi="Arial" w:cs="Arial"/>
                <w:b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Whether the ULFPTx mode-2 and the other ULPFTx mode </w:t>
            </w:r>
            <w:r w:rsidR="00981BF2">
              <w:rPr>
                <w:rFonts w:ascii="Arial" w:hAnsi="Arial" w:cs="Arial"/>
                <w:lang w:eastAsia="zh-CN"/>
              </w:rPr>
              <w:t>are feasible for FR2 UE?</w:t>
            </w:r>
          </w:p>
        </w:tc>
      </w:tr>
    </w:tbl>
    <w:p w:rsidR="00074FC2" w:rsidRDefault="00074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D7202" w:rsidRDefault="000413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D25E1">
        <w:rPr>
          <w:rFonts w:ascii="Arial" w:hAnsi="Arial" w:cs="Arial"/>
          <w:b/>
        </w:rPr>
        <w:t>Reply to Question 1</w:t>
      </w:r>
      <w:r>
        <w:rPr>
          <w:rFonts w:ascii="Arial" w:hAnsi="Arial" w:cs="Arial"/>
        </w:rPr>
        <w:t>:</w:t>
      </w:r>
      <w:r w:rsidR="000D5FAC">
        <w:rPr>
          <w:rFonts w:ascii="Arial" w:hAnsi="Arial" w:cs="Arial"/>
        </w:rPr>
        <w:t xml:space="preserve"> </w:t>
      </w:r>
      <w:r w:rsidR="00BA6F19">
        <w:rPr>
          <w:rFonts w:ascii="Arial" w:hAnsi="Arial" w:cs="Arial"/>
        </w:rPr>
        <w:t>M</w:t>
      </w:r>
      <w:r w:rsidR="000D5FAC">
        <w:rPr>
          <w:rFonts w:ascii="Arial" w:hAnsi="Arial" w:cs="Arial"/>
        </w:rPr>
        <w:t>ethod</w:t>
      </w:r>
      <w:r w:rsidR="00BA6F19">
        <w:rPr>
          <w:rFonts w:ascii="Arial" w:hAnsi="Arial" w:cs="Arial"/>
        </w:rPr>
        <w:t xml:space="preserve"> 1 is</w:t>
      </w:r>
      <w:r w:rsidR="000D5FAC">
        <w:rPr>
          <w:rFonts w:ascii="Arial" w:hAnsi="Arial" w:cs="Arial"/>
        </w:rPr>
        <w:t xml:space="preserve"> feasible</w:t>
      </w:r>
      <w:r w:rsidR="00BA6F19">
        <w:rPr>
          <w:rFonts w:ascii="Arial" w:hAnsi="Arial" w:cs="Arial"/>
        </w:rPr>
        <w:t xml:space="preserve"> for all ULFPTx modes (subject to UE capability and PA architectures)</w:t>
      </w:r>
      <w:r w:rsidR="000D5FAC">
        <w:rPr>
          <w:rFonts w:ascii="Arial" w:hAnsi="Arial" w:cs="Arial"/>
        </w:rPr>
        <w:t xml:space="preserve">. </w:t>
      </w:r>
      <w:r w:rsidR="00BA6F19">
        <w:rPr>
          <w:rFonts w:ascii="Arial" w:hAnsi="Arial" w:cs="Arial"/>
        </w:rPr>
        <w:t xml:space="preserve">Method 2 on the other hand can be feasible but not for all ULFPTx modes (cf. reply to Question 2 below). In addition, </w:t>
      </w:r>
      <w:r w:rsidR="000D5FAC">
        <w:rPr>
          <w:rFonts w:ascii="Arial" w:hAnsi="Arial" w:cs="Arial"/>
        </w:rPr>
        <w:t>Method 1</w:t>
      </w:r>
      <w:r w:rsidR="009263DF">
        <w:rPr>
          <w:rFonts w:ascii="Arial" w:hAnsi="Arial" w:cs="Arial"/>
        </w:rPr>
        <w:t xml:space="preserve"> is simpler</w:t>
      </w:r>
      <w:r w:rsidR="00BA6F19">
        <w:rPr>
          <w:rFonts w:ascii="Arial" w:hAnsi="Arial" w:cs="Arial"/>
        </w:rPr>
        <w:t xml:space="preserve"> of the two methods</w:t>
      </w:r>
      <w:r w:rsidR="009263DF">
        <w:rPr>
          <w:rFonts w:ascii="Arial" w:hAnsi="Arial" w:cs="Arial"/>
        </w:rPr>
        <w:t xml:space="preserve"> since it doesn’t rely on virtualizing</w:t>
      </w:r>
      <w:r w:rsidR="00BA6F19">
        <w:rPr>
          <w:rFonts w:ascii="Arial" w:hAnsi="Arial" w:cs="Arial"/>
        </w:rPr>
        <w:t xml:space="preserve"> (combing)</w:t>
      </w:r>
      <w:r w:rsidR="009263DF">
        <w:rPr>
          <w:rFonts w:ascii="Arial" w:hAnsi="Arial" w:cs="Arial"/>
        </w:rPr>
        <w:t xml:space="preserve"> </w:t>
      </w:r>
      <w:r w:rsidR="006C69D6">
        <w:rPr>
          <w:rFonts w:ascii="Arial" w:hAnsi="Arial" w:cs="Arial"/>
        </w:rPr>
        <w:t xml:space="preserve">multiple </w:t>
      </w:r>
      <w:r w:rsidR="009263DF">
        <w:rPr>
          <w:rFonts w:ascii="Arial" w:hAnsi="Arial" w:cs="Arial"/>
        </w:rPr>
        <w:t>PAs.</w:t>
      </w:r>
    </w:p>
    <w:p w:rsidR="000413DB" w:rsidRDefault="000413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F1408" w:rsidRDefault="000413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D25E1">
        <w:rPr>
          <w:rFonts w:ascii="Arial" w:hAnsi="Arial" w:cs="Arial"/>
          <w:b/>
        </w:rPr>
        <w:t>Reply to Question 2</w:t>
      </w:r>
      <w:r>
        <w:rPr>
          <w:rFonts w:ascii="Arial" w:hAnsi="Arial" w:cs="Arial"/>
        </w:rPr>
        <w:t>:</w:t>
      </w:r>
      <w:r w:rsidR="000D5FAC">
        <w:rPr>
          <w:rFonts w:ascii="Arial" w:hAnsi="Arial" w:cs="Arial"/>
        </w:rPr>
        <w:t xml:space="preserve"> </w:t>
      </w:r>
    </w:p>
    <w:p w:rsidR="004D2DF9" w:rsidRDefault="000D5FAC" w:rsidP="000F1408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Method 1</w:t>
      </w:r>
      <w:r w:rsidR="00416E70">
        <w:rPr>
          <w:rFonts w:ascii="Arial" w:hAnsi="Arial" w:cs="Arial"/>
        </w:rPr>
        <w:t xml:space="preserve">: all ULFPTx modes can be supported depending on </w:t>
      </w:r>
      <w:r w:rsidR="00063133">
        <w:rPr>
          <w:rFonts w:ascii="Arial" w:hAnsi="Arial" w:cs="Arial"/>
        </w:rPr>
        <w:t>UE PA architecture</w:t>
      </w:r>
      <w:r w:rsidR="00416E7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16E70" w:rsidRDefault="00416E70" w:rsidP="00416E70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Mode 0 can be supported if </w:t>
      </w:r>
      <w:r w:rsidR="00E345EB">
        <w:rPr>
          <w:rFonts w:ascii="Arial" w:hAnsi="Arial" w:cs="Arial"/>
        </w:rPr>
        <w:t>each</w:t>
      </w:r>
      <w:r>
        <w:rPr>
          <w:rFonts w:ascii="Arial" w:hAnsi="Arial" w:cs="Arial"/>
        </w:rPr>
        <w:t xml:space="preserve"> P</w:t>
      </w:r>
      <w:r w:rsidR="00E345EB">
        <w:rPr>
          <w:rFonts w:ascii="Arial" w:hAnsi="Arial" w:cs="Arial"/>
        </w:rPr>
        <w:t xml:space="preserve">A is </w:t>
      </w:r>
      <w:r>
        <w:rPr>
          <w:rFonts w:ascii="Arial" w:hAnsi="Arial" w:cs="Arial"/>
        </w:rPr>
        <w:t>full-rated.</w:t>
      </w:r>
    </w:p>
    <w:p w:rsidR="004D2DF9" w:rsidRDefault="000D5FAC" w:rsidP="004D2DF9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Mode 1</w:t>
      </w:r>
      <w:r w:rsidR="00F14901">
        <w:rPr>
          <w:rFonts w:ascii="Arial" w:hAnsi="Arial" w:cs="Arial"/>
        </w:rPr>
        <w:t xml:space="preserve"> </w:t>
      </w:r>
      <w:r w:rsidR="004D2DF9">
        <w:rPr>
          <w:rFonts w:ascii="Arial" w:hAnsi="Arial" w:cs="Arial"/>
        </w:rPr>
        <w:t xml:space="preserve">can be supported </w:t>
      </w:r>
      <w:r w:rsidR="00F14901">
        <w:rPr>
          <w:rFonts w:ascii="Arial" w:hAnsi="Arial" w:cs="Arial"/>
        </w:rPr>
        <w:t>since full power can be achieved with TPMI = 2, i.e., [1 1]/sqrt(2)</w:t>
      </w:r>
      <w:r>
        <w:rPr>
          <w:rFonts w:ascii="Arial" w:hAnsi="Arial" w:cs="Arial"/>
        </w:rPr>
        <w:t>.</w:t>
      </w:r>
    </w:p>
    <w:p w:rsidR="000F1408" w:rsidRDefault="00416E70" w:rsidP="004D2DF9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4D2DF9">
        <w:rPr>
          <w:rFonts w:ascii="Arial" w:hAnsi="Arial" w:cs="Arial"/>
        </w:rPr>
        <w:t>ode 2 can be supported if at least one PA is full-rated</w:t>
      </w:r>
      <w:r w:rsidR="004902B9">
        <w:rPr>
          <w:rFonts w:ascii="Arial" w:hAnsi="Arial" w:cs="Arial"/>
        </w:rPr>
        <w:t xml:space="preserve"> and the UE reports at least one full power TPMI (</w:t>
      </w:r>
      <w:r w:rsidR="00E345EB">
        <w:rPr>
          <w:rFonts w:ascii="Arial" w:hAnsi="Arial" w:cs="Arial"/>
        </w:rPr>
        <w:t>0</w:t>
      </w:r>
      <w:r w:rsidR="004902B9">
        <w:rPr>
          <w:rFonts w:ascii="Arial" w:hAnsi="Arial" w:cs="Arial"/>
        </w:rPr>
        <w:t xml:space="preserve"> or 1)</w:t>
      </w:r>
      <w:r w:rsidR="004D2DF9">
        <w:rPr>
          <w:rFonts w:ascii="Arial" w:hAnsi="Arial" w:cs="Arial"/>
        </w:rPr>
        <w:t xml:space="preserve">, or the UE can be configured with a SRS resource with 1 port. </w:t>
      </w:r>
      <w:r w:rsidR="000D5FAC">
        <w:rPr>
          <w:rFonts w:ascii="Arial" w:hAnsi="Arial" w:cs="Arial"/>
        </w:rPr>
        <w:t xml:space="preserve"> </w:t>
      </w:r>
    </w:p>
    <w:p w:rsidR="00C5498E" w:rsidRDefault="000D5FAC" w:rsidP="004D2DF9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Method 2 </w:t>
      </w:r>
    </w:p>
    <w:p w:rsidR="00E345EB" w:rsidRDefault="00E345EB" w:rsidP="00C5498E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Mode</w:t>
      </w:r>
      <w:r w:rsidR="00AA1037">
        <w:rPr>
          <w:rFonts w:ascii="Arial" w:hAnsi="Arial" w:cs="Arial"/>
        </w:rPr>
        <w:t xml:space="preserve"> 0 can be supported if each SRS port can achieve full power.</w:t>
      </w:r>
    </w:p>
    <w:p w:rsidR="000413DB" w:rsidRDefault="00E345EB" w:rsidP="00C5498E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Mode 1: n</w:t>
      </w:r>
      <w:r w:rsidR="006C5C36">
        <w:rPr>
          <w:rFonts w:ascii="Arial" w:hAnsi="Arial" w:cs="Arial"/>
        </w:rPr>
        <w:t>ot usable</w:t>
      </w:r>
      <w:r w:rsidR="00F14901">
        <w:rPr>
          <w:rFonts w:ascii="Arial" w:hAnsi="Arial" w:cs="Arial"/>
        </w:rPr>
        <w:t xml:space="preserve">, since </w:t>
      </w:r>
      <w:r w:rsidR="00F14901" w:rsidRPr="00F14901">
        <w:rPr>
          <w:rFonts w:ascii="Arial" w:hAnsi="Arial" w:cs="Arial"/>
        </w:rPr>
        <w:t xml:space="preserve">if </w:t>
      </w:r>
      <w:r w:rsidR="006C5C36">
        <w:rPr>
          <w:rFonts w:ascii="Arial" w:hAnsi="Arial" w:cs="Arial"/>
        </w:rPr>
        <w:t>it</w:t>
      </w:r>
      <w:r w:rsidR="00F14901" w:rsidRPr="00F14901">
        <w:rPr>
          <w:rFonts w:ascii="Arial" w:hAnsi="Arial" w:cs="Arial"/>
        </w:rPr>
        <w:t xml:space="preserve"> is used, </w:t>
      </w:r>
      <w:r w:rsidR="0093447D">
        <w:rPr>
          <w:rFonts w:ascii="Arial" w:hAnsi="Arial" w:cs="Arial"/>
        </w:rPr>
        <w:t xml:space="preserve">then </w:t>
      </w:r>
      <w:r w:rsidR="00F14901" w:rsidRPr="00F14901">
        <w:rPr>
          <w:rFonts w:ascii="Arial" w:hAnsi="Arial" w:cs="Arial"/>
        </w:rPr>
        <w:t xml:space="preserve">both </w:t>
      </w:r>
      <w:r w:rsidR="00AA1037">
        <w:rPr>
          <w:rFonts w:ascii="Arial" w:hAnsi="Arial" w:cs="Arial"/>
        </w:rPr>
        <w:t xml:space="preserve">SRS </w:t>
      </w:r>
      <w:r w:rsidR="00F14901" w:rsidRPr="00F14901">
        <w:rPr>
          <w:rFonts w:ascii="Arial" w:hAnsi="Arial" w:cs="Arial"/>
        </w:rPr>
        <w:t>port</w:t>
      </w:r>
      <w:r w:rsidR="0093447D">
        <w:rPr>
          <w:rFonts w:ascii="Arial" w:hAnsi="Arial" w:cs="Arial"/>
        </w:rPr>
        <w:t>s</w:t>
      </w:r>
      <w:r w:rsidR="00AA1037">
        <w:rPr>
          <w:rFonts w:ascii="Arial" w:hAnsi="Arial" w:cs="Arial"/>
        </w:rPr>
        <w:t xml:space="preserve"> (i.e. TPMI = 0,1) can achieve full power,</w:t>
      </w:r>
      <w:r w:rsidR="00F14901" w:rsidRPr="00F14901">
        <w:rPr>
          <w:rFonts w:ascii="Arial" w:hAnsi="Arial" w:cs="Arial"/>
        </w:rPr>
        <w:t xml:space="preserve"> </w:t>
      </w:r>
      <w:r w:rsidR="00F14901">
        <w:rPr>
          <w:rFonts w:ascii="Arial" w:hAnsi="Arial" w:cs="Arial"/>
        </w:rPr>
        <w:t xml:space="preserve">which </w:t>
      </w:r>
      <w:r w:rsidR="00F14901" w:rsidRPr="00F14901">
        <w:rPr>
          <w:rFonts w:ascii="Arial" w:hAnsi="Arial" w:cs="Arial"/>
        </w:rPr>
        <w:t>contradict</w:t>
      </w:r>
      <w:r w:rsidR="00F14901">
        <w:rPr>
          <w:rFonts w:ascii="Arial" w:hAnsi="Arial" w:cs="Arial"/>
        </w:rPr>
        <w:t>s the fact that</w:t>
      </w:r>
      <w:r w:rsidR="00F14901" w:rsidRPr="00F14901">
        <w:rPr>
          <w:rFonts w:ascii="Arial" w:hAnsi="Arial" w:cs="Arial"/>
        </w:rPr>
        <w:t xml:space="preserve"> only TPMI</w:t>
      </w:r>
      <w:r w:rsidR="00F14901">
        <w:rPr>
          <w:rFonts w:ascii="Arial" w:hAnsi="Arial" w:cs="Arial"/>
        </w:rPr>
        <w:t xml:space="preserve"> = 2, i.e.,</w:t>
      </w:r>
      <w:r w:rsidR="00F14901" w:rsidRPr="00F14901">
        <w:rPr>
          <w:rFonts w:ascii="Arial" w:hAnsi="Arial" w:cs="Arial"/>
        </w:rPr>
        <w:t xml:space="preserve"> [1 1]</w:t>
      </w:r>
      <w:r w:rsidR="00F14901">
        <w:rPr>
          <w:rFonts w:ascii="Arial" w:hAnsi="Arial" w:cs="Arial"/>
        </w:rPr>
        <w:t>/sqrt(2)</w:t>
      </w:r>
      <w:r w:rsidR="00F14901" w:rsidRPr="00F14901">
        <w:rPr>
          <w:rFonts w:ascii="Arial" w:hAnsi="Arial" w:cs="Arial"/>
        </w:rPr>
        <w:t xml:space="preserve"> can achieve full power for mode</w:t>
      </w:r>
      <w:r w:rsidR="00F14901">
        <w:rPr>
          <w:rFonts w:ascii="Arial" w:hAnsi="Arial" w:cs="Arial"/>
        </w:rPr>
        <w:t xml:space="preserve"> 1.</w:t>
      </w:r>
    </w:p>
    <w:p w:rsidR="004E4EE3" w:rsidRDefault="004E4EE3" w:rsidP="00BF1682">
      <w:pPr>
        <w:pStyle w:val="Header"/>
        <w:numPr>
          <w:ilvl w:val="1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Mode 2:</w:t>
      </w:r>
    </w:p>
    <w:p w:rsidR="00EE33DB" w:rsidRDefault="00CA09FC" w:rsidP="00BF1682">
      <w:pPr>
        <w:pStyle w:val="Header"/>
        <w:numPr>
          <w:ilvl w:val="2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a SRS resource with 1 port, full power c</w:t>
      </w:r>
      <w:r w:rsidR="00EE33DB">
        <w:rPr>
          <w:rFonts w:ascii="Arial" w:hAnsi="Arial" w:cs="Arial"/>
        </w:rPr>
        <w:t>an be supported.</w:t>
      </w:r>
    </w:p>
    <w:p w:rsidR="004E4EE3" w:rsidRPr="00AA1037" w:rsidRDefault="00CA09FC" w:rsidP="00AA1037">
      <w:pPr>
        <w:pStyle w:val="Header"/>
        <w:numPr>
          <w:ilvl w:val="2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a SRS resource with 2 ports, </w:t>
      </w:r>
      <w:r w:rsidR="004E4EE3" w:rsidRPr="00AA1037">
        <w:rPr>
          <w:rFonts w:ascii="Arial" w:hAnsi="Arial" w:cs="Arial"/>
        </w:rPr>
        <w:t xml:space="preserve">full power can be </w:t>
      </w:r>
      <w:r w:rsidR="003A6CC9" w:rsidRPr="00AA1037">
        <w:rPr>
          <w:rFonts w:ascii="Arial" w:hAnsi="Arial" w:cs="Arial"/>
        </w:rPr>
        <w:t xml:space="preserve">supported </w:t>
      </w:r>
      <w:r w:rsidR="004E4EE3" w:rsidRPr="00AA1037">
        <w:rPr>
          <w:rFonts w:ascii="Arial" w:hAnsi="Arial" w:cs="Arial"/>
        </w:rPr>
        <w:t xml:space="preserve">for </w:t>
      </w:r>
      <w:r w:rsidR="00BF1682" w:rsidRPr="00AA1037">
        <w:rPr>
          <w:rFonts w:ascii="Arial" w:hAnsi="Arial" w:cs="Arial"/>
        </w:rPr>
        <w:t>the full power TPMI(s)</w:t>
      </w:r>
      <w:r w:rsidR="00AA1037">
        <w:rPr>
          <w:rFonts w:ascii="Arial" w:hAnsi="Arial" w:cs="Arial"/>
        </w:rPr>
        <w:t xml:space="preserve"> reported by the UE</w:t>
      </w:r>
      <w:r w:rsidR="004E4EE3" w:rsidRPr="00AA1037">
        <w:rPr>
          <w:rFonts w:ascii="Arial" w:hAnsi="Arial" w:cs="Arial"/>
        </w:rPr>
        <w:t>.</w:t>
      </w:r>
    </w:p>
    <w:p w:rsidR="000413DB" w:rsidRDefault="004227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short, Method 1 can support all modes and Method 2 can support mode 0 and 2 but not mode 1.</w:t>
      </w:r>
    </w:p>
    <w:p w:rsidR="004227AE" w:rsidRDefault="004227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413DB" w:rsidRPr="00404E25" w:rsidRDefault="000413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04E25">
        <w:rPr>
          <w:rFonts w:ascii="Arial" w:hAnsi="Arial" w:cs="Arial"/>
          <w:b/>
        </w:rPr>
        <w:t>Reply to Question 3</w:t>
      </w:r>
      <w:r w:rsidRPr="00404E25">
        <w:rPr>
          <w:rFonts w:ascii="Arial" w:hAnsi="Arial" w:cs="Arial"/>
        </w:rPr>
        <w:t>:</w:t>
      </w:r>
      <w:r w:rsidR="00625316" w:rsidRPr="00404E25">
        <w:rPr>
          <w:rFonts w:ascii="Arial" w:hAnsi="Arial" w:cs="Arial"/>
        </w:rPr>
        <w:t xml:space="preserve"> </w:t>
      </w:r>
      <w:r w:rsidR="00404E25" w:rsidRPr="00404E25">
        <w:rPr>
          <w:rFonts w:ascii="Arial" w:hAnsi="Arial" w:cs="Arial"/>
        </w:rPr>
        <w:t>Considering that mode 1 for FR2 UE has been confirmed</w:t>
      </w:r>
      <w:r w:rsidR="004E19F4">
        <w:rPr>
          <w:rFonts w:ascii="Arial" w:hAnsi="Arial" w:cs="Arial"/>
        </w:rPr>
        <w:t xml:space="preserve"> to be feasible</w:t>
      </w:r>
      <w:r w:rsidR="00404E25" w:rsidRPr="00404E25">
        <w:rPr>
          <w:rFonts w:ascii="Arial" w:hAnsi="Arial" w:cs="Arial"/>
        </w:rPr>
        <w:t>,</w:t>
      </w:r>
      <w:r w:rsidR="00625316" w:rsidRPr="00404E25">
        <w:rPr>
          <w:rFonts w:ascii="Arial" w:hAnsi="Arial" w:cs="Arial"/>
        </w:rPr>
        <w:t xml:space="preserve"> </w:t>
      </w:r>
      <w:r w:rsidR="00404E25">
        <w:rPr>
          <w:rFonts w:ascii="Arial" w:hAnsi="Arial" w:cs="Arial"/>
        </w:rPr>
        <w:t>there is</w:t>
      </w:r>
      <w:r w:rsidR="00625316" w:rsidRPr="00404E25">
        <w:rPr>
          <w:rFonts w:ascii="Arial" w:hAnsi="Arial" w:cs="Arial"/>
        </w:rPr>
        <w:t xml:space="preserve"> </w:t>
      </w:r>
      <w:r w:rsidR="00404E25">
        <w:rPr>
          <w:rFonts w:ascii="Arial" w:hAnsi="Arial" w:cs="Arial"/>
        </w:rPr>
        <w:t>no technical reason behind not allowing</w:t>
      </w:r>
      <w:r w:rsidR="00FB3477">
        <w:rPr>
          <w:rFonts w:ascii="Arial" w:hAnsi="Arial" w:cs="Arial"/>
        </w:rPr>
        <w:t xml:space="preserve"> (or declaring infeasible)</w:t>
      </w:r>
      <w:r w:rsidR="00404E25">
        <w:rPr>
          <w:rFonts w:ascii="Arial" w:hAnsi="Arial" w:cs="Arial"/>
        </w:rPr>
        <w:t xml:space="preserve"> </w:t>
      </w:r>
      <w:r w:rsidR="00625316" w:rsidRPr="00404E25">
        <w:rPr>
          <w:rFonts w:ascii="Arial" w:hAnsi="Arial" w:cs="Arial"/>
        </w:rPr>
        <w:t>mode</w:t>
      </w:r>
      <w:r w:rsidR="00404E25">
        <w:rPr>
          <w:rFonts w:ascii="Arial" w:hAnsi="Arial" w:cs="Arial"/>
        </w:rPr>
        <w:t xml:space="preserve"> 0 or mode 2 in FR2</w:t>
      </w:r>
      <w:r w:rsidR="00181E10">
        <w:rPr>
          <w:rFonts w:ascii="Arial" w:hAnsi="Arial" w:cs="Arial"/>
        </w:rPr>
        <w:t>, i.e., if a FR2 UE is allowed to support mode 1, then another FR2 UE, if it can, should be allowed to support mode 0 or mode 2</w:t>
      </w:r>
      <w:r w:rsidR="00404E25">
        <w:rPr>
          <w:rFonts w:ascii="Arial" w:hAnsi="Arial" w:cs="Arial"/>
        </w:rPr>
        <w:t xml:space="preserve">. </w:t>
      </w:r>
      <w:r w:rsidR="00181E10">
        <w:rPr>
          <w:rFonts w:ascii="Arial" w:hAnsi="Arial" w:cs="Arial"/>
        </w:rPr>
        <w:t>Hence</w:t>
      </w:r>
      <w:r w:rsidR="00404E25">
        <w:rPr>
          <w:rFonts w:ascii="Arial" w:hAnsi="Arial" w:cs="Arial"/>
        </w:rPr>
        <w:t xml:space="preserve">, </w:t>
      </w:r>
      <w:r w:rsidR="00625316" w:rsidRPr="00404E25">
        <w:rPr>
          <w:rFonts w:ascii="Arial" w:hAnsi="Arial" w:cs="Arial"/>
        </w:rPr>
        <w:t xml:space="preserve">all modes </w:t>
      </w:r>
      <w:r w:rsidR="00404E25">
        <w:rPr>
          <w:rFonts w:ascii="Arial" w:hAnsi="Arial" w:cs="Arial"/>
        </w:rPr>
        <w:t xml:space="preserve">should be </w:t>
      </w:r>
      <w:r w:rsidR="00A56018">
        <w:rPr>
          <w:rFonts w:ascii="Arial" w:hAnsi="Arial" w:cs="Arial"/>
        </w:rPr>
        <w:t>feasible</w:t>
      </w:r>
      <w:r w:rsidR="00625316" w:rsidRPr="00404E25">
        <w:rPr>
          <w:rFonts w:ascii="Arial" w:hAnsi="Arial" w:cs="Arial"/>
        </w:rPr>
        <w:t xml:space="preserve"> for FR2.</w:t>
      </w:r>
    </w:p>
    <w:p w:rsidR="008D37E5" w:rsidRPr="000F4E43" w:rsidRDefault="008D37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7A062E">
        <w:rPr>
          <w:rFonts w:ascii="Arial" w:hAnsi="Arial" w:cs="Arial"/>
          <w:b/>
        </w:rPr>
        <w:t>RAN4</w:t>
      </w:r>
    </w:p>
    <w:p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351F8A">
        <w:rPr>
          <w:rFonts w:ascii="Arial" w:hAnsi="Arial" w:cs="Arial"/>
        </w:rPr>
        <w:t>RAN4</w:t>
      </w:r>
      <w:r w:rsidR="00916CC0" w:rsidRPr="00937C01">
        <w:rPr>
          <w:rFonts w:ascii="Arial" w:hAnsi="Arial" w:cs="Arial"/>
        </w:rPr>
        <w:t xml:space="preserve"> to take the above information into account in their further work</w:t>
      </w:r>
    </w:p>
    <w:p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:rsidR="001A1521" w:rsidRDefault="00351F8A" w:rsidP="00351F8A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#103</w:t>
      </w:r>
      <w:r w:rsidR="00074FC2" w:rsidRPr="00937C01">
        <w:rPr>
          <w:rFonts w:ascii="Arial" w:hAnsi="Arial" w:cs="Arial"/>
          <w:bCs/>
        </w:rPr>
        <w:tab/>
      </w:r>
      <w:r w:rsidR="00074FC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26</w:t>
      </w:r>
      <w:r w:rsidR="00074FC2" w:rsidRPr="00351F8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="00074FC2" w:rsidRPr="00937C0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74FC2" w:rsidRPr="00454F8B">
        <w:rPr>
          <w:rFonts w:ascii="Arial" w:hAnsi="Arial" w:cs="Arial"/>
          <w:bCs/>
          <w:vertAlign w:val="superscript"/>
        </w:rPr>
        <w:t>th</w:t>
      </w:r>
      <w:r w:rsidR="00454F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074FC2" w:rsidRPr="00937C01">
        <w:rPr>
          <w:rFonts w:ascii="Arial" w:hAnsi="Arial" w:cs="Arial"/>
          <w:bCs/>
        </w:rPr>
        <w:t xml:space="preserve"> 20</w:t>
      </w:r>
      <w:r w:rsidR="00074FC2">
        <w:rPr>
          <w:rFonts w:ascii="Arial" w:hAnsi="Arial" w:cs="Arial"/>
          <w:bCs/>
        </w:rPr>
        <w:t>20</w:t>
      </w:r>
      <w:r w:rsidR="00074FC2" w:rsidRPr="00937C01">
        <w:rPr>
          <w:rFonts w:ascii="Arial" w:hAnsi="Arial" w:cs="Arial"/>
          <w:bCs/>
        </w:rPr>
        <w:tab/>
      </w:r>
      <w:r w:rsidR="00074F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  <w:r w:rsidR="00074FC2" w:rsidRPr="00937C01">
        <w:rPr>
          <w:rFonts w:ascii="Arial" w:hAnsi="Arial" w:cs="Arial"/>
          <w:bCs/>
        </w:rPr>
        <w:t>.</w:t>
      </w:r>
    </w:p>
    <w:p w:rsidR="001A1521" w:rsidRDefault="00351F8A" w:rsidP="00351F8A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RAN1 Meeting #104 </w:t>
      </w:r>
      <w:r>
        <w:rPr>
          <w:rFonts w:ascii="Arial" w:hAnsi="Arial" w:cs="Arial"/>
          <w:bCs/>
        </w:rPr>
        <w:tab/>
        <w:t>1</w:t>
      </w:r>
      <w:r w:rsidRPr="00351F8A">
        <w:rPr>
          <w:rFonts w:ascii="Arial" w:hAnsi="Arial" w:cs="Arial"/>
          <w:bCs/>
          <w:vertAlign w:val="superscript"/>
        </w:rPr>
        <w:t>st</w:t>
      </w:r>
      <w:r w:rsidR="00963A76" w:rsidRPr="00937C0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5</w:t>
      </w:r>
      <w:r w:rsidRPr="00351F8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63A76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rch</w:t>
      </w:r>
      <w:r w:rsidR="00963A76" w:rsidRPr="00937C01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 w:rsidR="00963A76" w:rsidRPr="00937C01">
        <w:rPr>
          <w:rFonts w:ascii="Arial" w:hAnsi="Arial" w:cs="Arial"/>
          <w:bCs/>
        </w:rPr>
        <w:tab/>
      </w:r>
      <w:r w:rsidR="00963A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3A76">
        <w:rPr>
          <w:rFonts w:ascii="Arial" w:hAnsi="Arial" w:cs="Arial"/>
          <w:bCs/>
        </w:rPr>
        <w:t>Athens</w:t>
      </w:r>
      <w:r w:rsidR="00963A76" w:rsidRPr="00937C01">
        <w:rPr>
          <w:rFonts w:ascii="Arial" w:hAnsi="Arial" w:cs="Arial"/>
          <w:bCs/>
        </w:rPr>
        <w:t xml:space="preserve">, </w:t>
      </w:r>
      <w:r w:rsidR="00963A76">
        <w:rPr>
          <w:rFonts w:ascii="Arial" w:hAnsi="Arial" w:cs="Arial"/>
          <w:bCs/>
        </w:rPr>
        <w:t>GR</w:t>
      </w:r>
      <w:r w:rsidR="00963A76" w:rsidRPr="00937C01">
        <w:rPr>
          <w:rFonts w:ascii="Arial" w:hAnsi="Arial" w:cs="Arial"/>
          <w:bCs/>
        </w:rPr>
        <w:t>.</w:t>
      </w:r>
    </w:p>
    <w:p w:rsidR="0051699E" w:rsidRDefault="0051699E" w:rsidP="0051699E">
      <w:pPr>
        <w:pStyle w:val="Heading1"/>
        <w:keepLines/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right="0" w:hanging="799"/>
        <w:jc w:val="both"/>
        <w:textAlignment w:val="baseline"/>
        <w:rPr>
          <w:lang w:val="en-US"/>
        </w:rPr>
      </w:pPr>
    </w:p>
    <w:p w:rsidR="0051699E" w:rsidRPr="00874569" w:rsidRDefault="0051699E" w:rsidP="0051699E">
      <w:pPr>
        <w:pStyle w:val="Heading1"/>
        <w:keepLines/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right="0" w:hanging="799"/>
        <w:jc w:val="both"/>
        <w:textAlignment w:val="baseline"/>
        <w:rPr>
          <w:rFonts w:cs="Arial"/>
          <w:lang w:val="en-US"/>
        </w:rPr>
      </w:pPr>
      <w:r w:rsidRPr="00874569">
        <w:rPr>
          <w:rFonts w:cs="Arial"/>
          <w:lang w:val="en-US"/>
        </w:rPr>
        <w:t>References</w:t>
      </w:r>
    </w:p>
    <w:p w:rsidR="0051699E" w:rsidRPr="00874569" w:rsidRDefault="005D04F2" w:rsidP="005D04F2">
      <w:pPr>
        <w:pStyle w:val="2222"/>
        <w:numPr>
          <w:ilvl w:val="0"/>
          <w:numId w:val="21"/>
        </w:numPr>
        <w:spacing w:after="120" w:line="288" w:lineRule="auto"/>
        <w:ind w:firstLineChars="0"/>
        <w:rPr>
          <w:rFonts w:ascii="Arial" w:hAnsi="Arial" w:cs="Arial"/>
          <w:sz w:val="20"/>
          <w:lang w:val="en-US" w:eastAsia="ko-KR"/>
        </w:rPr>
      </w:pPr>
      <w:bookmarkStart w:id="1" w:name="_Ref31989388"/>
      <w:bookmarkStart w:id="2" w:name="_Ref526288974"/>
      <w:r w:rsidRPr="005D04F2">
        <w:rPr>
          <w:rFonts w:ascii="Arial" w:hAnsi="Arial" w:cs="Arial"/>
          <w:sz w:val="20"/>
          <w:lang w:val="en-US" w:eastAsia="ko-KR"/>
        </w:rPr>
        <w:t>R4-2009171</w:t>
      </w:r>
      <w:r w:rsidR="0051699E" w:rsidRPr="00874569">
        <w:rPr>
          <w:rFonts w:ascii="Arial" w:hAnsi="Arial" w:cs="Arial"/>
          <w:sz w:val="20"/>
          <w:lang w:val="en-US" w:eastAsia="ko-KR"/>
        </w:rPr>
        <w:t xml:space="preserve">, </w:t>
      </w:r>
      <w:bookmarkEnd w:id="1"/>
      <w:bookmarkEnd w:id="2"/>
      <w:r w:rsidRPr="005D04F2">
        <w:rPr>
          <w:rFonts w:ascii="Arial" w:hAnsi="Arial" w:cs="Arial"/>
          <w:sz w:val="20"/>
          <w:lang w:val="en-US" w:eastAsia="ko-KR"/>
        </w:rPr>
        <w:t>draft LS on feasibility of ULFPTx modes and transparent TxD for certain UE implementations</w:t>
      </w:r>
      <w:r>
        <w:rPr>
          <w:rFonts w:ascii="Arial" w:hAnsi="Arial" w:cs="Arial"/>
          <w:sz w:val="20"/>
          <w:lang w:val="en-US" w:eastAsia="ko-KR"/>
        </w:rPr>
        <w:t>, Huawei</w:t>
      </w:r>
    </w:p>
    <w:p w:rsidR="0051699E" w:rsidRPr="00937C01" w:rsidRDefault="0051699E" w:rsidP="00FF4C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1699E" w:rsidRPr="00937C0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3C9" w:rsidRDefault="00B613C9">
      <w:r>
        <w:separator/>
      </w:r>
    </w:p>
  </w:endnote>
  <w:endnote w:type="continuationSeparator" w:id="0">
    <w:p w:rsidR="00B613C9" w:rsidRDefault="00B6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3C9" w:rsidRDefault="00B613C9">
      <w:r>
        <w:separator/>
      </w:r>
    </w:p>
  </w:footnote>
  <w:footnote w:type="continuationSeparator" w:id="0">
    <w:p w:rsidR="00B613C9" w:rsidRDefault="00B61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8"/>
  </w:num>
  <w:num w:numId="17">
    <w:abstractNumId w:val="20"/>
  </w:num>
  <w:num w:numId="18">
    <w:abstractNumId w:val="19"/>
  </w:num>
  <w:num w:numId="19">
    <w:abstractNumId w:val="16"/>
  </w:num>
  <w:num w:numId="20">
    <w:abstractNumId w:val="11"/>
  </w:num>
  <w:num w:numId="21">
    <w:abstractNumId w:val="10"/>
  </w:num>
  <w:num w:numId="22">
    <w:abstractNumId w:val="21"/>
  </w:num>
  <w:num w:numId="23">
    <w:abstractNumId w:val="13"/>
  </w:num>
  <w:num w:numId="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D430A"/>
    <w:rsid w:val="000D5FAC"/>
    <w:rsid w:val="000F1408"/>
    <w:rsid w:val="000F4E43"/>
    <w:rsid w:val="001310C6"/>
    <w:rsid w:val="001526D0"/>
    <w:rsid w:val="0016425A"/>
    <w:rsid w:val="00175F78"/>
    <w:rsid w:val="00181E10"/>
    <w:rsid w:val="001A1521"/>
    <w:rsid w:val="001B2B02"/>
    <w:rsid w:val="001B5FFD"/>
    <w:rsid w:val="001B6ADA"/>
    <w:rsid w:val="001D25E1"/>
    <w:rsid w:val="001D7607"/>
    <w:rsid w:val="002331F4"/>
    <w:rsid w:val="00282988"/>
    <w:rsid w:val="002A4B1E"/>
    <w:rsid w:val="00310045"/>
    <w:rsid w:val="00351F8A"/>
    <w:rsid w:val="00383488"/>
    <w:rsid w:val="003A6CC9"/>
    <w:rsid w:val="003C2BA0"/>
    <w:rsid w:val="003C7C9D"/>
    <w:rsid w:val="003E3EE8"/>
    <w:rsid w:val="00404E25"/>
    <w:rsid w:val="00416E70"/>
    <w:rsid w:val="004227AE"/>
    <w:rsid w:val="00454F8B"/>
    <w:rsid w:val="00455C31"/>
    <w:rsid w:val="00463675"/>
    <w:rsid w:val="0046630D"/>
    <w:rsid w:val="004902B9"/>
    <w:rsid w:val="004D2DF9"/>
    <w:rsid w:val="004E19F4"/>
    <w:rsid w:val="004E4EE3"/>
    <w:rsid w:val="004F65EB"/>
    <w:rsid w:val="0051699E"/>
    <w:rsid w:val="0057771C"/>
    <w:rsid w:val="00581330"/>
    <w:rsid w:val="00584B08"/>
    <w:rsid w:val="005B2FFD"/>
    <w:rsid w:val="005D04F2"/>
    <w:rsid w:val="005F252A"/>
    <w:rsid w:val="0060618E"/>
    <w:rsid w:val="00625316"/>
    <w:rsid w:val="0064347F"/>
    <w:rsid w:val="00665096"/>
    <w:rsid w:val="00692D7C"/>
    <w:rsid w:val="006A085E"/>
    <w:rsid w:val="006A643B"/>
    <w:rsid w:val="006C5C36"/>
    <w:rsid w:val="006C5DE8"/>
    <w:rsid w:val="006C69D6"/>
    <w:rsid w:val="006E2BD2"/>
    <w:rsid w:val="00726FC3"/>
    <w:rsid w:val="00780EA3"/>
    <w:rsid w:val="0079236E"/>
    <w:rsid w:val="007A062E"/>
    <w:rsid w:val="007A2A2D"/>
    <w:rsid w:val="007A7FCF"/>
    <w:rsid w:val="00802948"/>
    <w:rsid w:val="0080550F"/>
    <w:rsid w:val="00805DA9"/>
    <w:rsid w:val="008230DF"/>
    <w:rsid w:val="00841D20"/>
    <w:rsid w:val="008566B1"/>
    <w:rsid w:val="00874569"/>
    <w:rsid w:val="008871B5"/>
    <w:rsid w:val="008D37E5"/>
    <w:rsid w:val="00916CC0"/>
    <w:rsid w:val="00923E7C"/>
    <w:rsid w:val="009263DF"/>
    <w:rsid w:val="0093447D"/>
    <w:rsid w:val="00937C01"/>
    <w:rsid w:val="00963A76"/>
    <w:rsid w:val="00981BF2"/>
    <w:rsid w:val="00A34F72"/>
    <w:rsid w:val="00A4142F"/>
    <w:rsid w:val="00A56018"/>
    <w:rsid w:val="00AA1037"/>
    <w:rsid w:val="00B133CF"/>
    <w:rsid w:val="00B613C9"/>
    <w:rsid w:val="00B64BC2"/>
    <w:rsid w:val="00B94E68"/>
    <w:rsid w:val="00B97CD6"/>
    <w:rsid w:val="00BA6F19"/>
    <w:rsid w:val="00BF1682"/>
    <w:rsid w:val="00C00027"/>
    <w:rsid w:val="00C174F7"/>
    <w:rsid w:val="00C5498E"/>
    <w:rsid w:val="00CA09FC"/>
    <w:rsid w:val="00CB5D1B"/>
    <w:rsid w:val="00CD639C"/>
    <w:rsid w:val="00CF0BDF"/>
    <w:rsid w:val="00D25ACF"/>
    <w:rsid w:val="00D3014F"/>
    <w:rsid w:val="00D851E9"/>
    <w:rsid w:val="00D86FA3"/>
    <w:rsid w:val="00DB247F"/>
    <w:rsid w:val="00E10A4A"/>
    <w:rsid w:val="00E15A52"/>
    <w:rsid w:val="00E345EB"/>
    <w:rsid w:val="00E657C5"/>
    <w:rsid w:val="00E8353F"/>
    <w:rsid w:val="00EE33DB"/>
    <w:rsid w:val="00F14901"/>
    <w:rsid w:val="00FB3477"/>
    <w:rsid w:val="00FC7F9D"/>
    <w:rsid w:val="00FD230B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Md Saifur Rahman/Communication Standards /SRA/Staff Engineer/Samsung Electronics (STA)</cp:lastModifiedBy>
  <cp:revision>87</cp:revision>
  <cp:lastPrinted>2002-04-23T14:10:00Z</cp:lastPrinted>
  <dcterms:created xsi:type="dcterms:W3CDTF">2020-02-10T18:23:00Z</dcterms:created>
  <dcterms:modified xsi:type="dcterms:W3CDTF">2020-08-06T16:24:00Z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표준팀\Spec\RAN1_98bis\Samsung\Draft\0. Hoondong\1. Reply LS on mTRP\R1-19xxxxx Draft reply LS on mTRP.doc</vt:lpwstr>
  </property>
</Properties>
</file>